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Žádost o lékařské vyšetření člena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jednotky sboru dobrovolných hasičů obce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Obec  .................................žádá o posouzení zdravotního stavu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ab/>
        <w:tab/>
        <w:tab/>
        <w:t xml:space="preserve">- člena jednotky sboru dobrovolných hasičů obce*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ab/>
        <w:tab/>
        <w:tab/>
        <w:t xml:space="preserve">- žadatele o členství v jednotce sboru dobrovolných hasičů obce**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a vyjádření k jeho způsobilosti vykonávat činnost člena jednotky sboru dobrovolných hasičů obce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ab/>
        <w:t xml:space="preserve">Příjmení:...........................................Jméno:.................................................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Datum narození:...............................Rodné číslo:.........................................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V ......................................dne:...................................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3312" w:firstLine="22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.........................................................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</w:t>
        <w:tab/>
        <w:tab/>
        <w:tab/>
        <w:tab/>
        <w:tab/>
        <w:tab/>
        <w:tab/>
        <w:t xml:space="preserve">   potvrzení obce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1054100</wp:posOffset>
            </wp:positionH>
            <wp:positionV relativeFrom="paragraph">
              <wp:posOffset>215900</wp:posOffset>
            </wp:positionV>
            <wp:extent cy="12700" cx="5232400"/>
            <wp:effectExtent t="0" b="0" r="0" l="0"/>
            <wp:wrapNone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ext cy="12700" cx="523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Prohlášení člena JSDH (žadatele):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72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Prohlašuji, že se cítím zdráv a netrpím žádnou chorobou, která by ztěžovala nebo znemožňovala mou činnost v jednotce sboru dobrovolných hasičů obce. Zároveň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prohlašuji, že se cítím být schopen vykonávat činnost v jednotce dobrovolných hasičů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obce.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V .................................. dne:.....................................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Podpis člena jednotky sboru dobrovolných hasičů obce (žadatele)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1028700</wp:posOffset>
            </wp:positionH>
            <wp:positionV relativeFrom="paragraph">
              <wp:posOffset>152400</wp:posOffset>
            </wp:positionV>
            <wp:extent cy="12700" cx="5308600"/>
            <wp:effectExtent t="0" b="0" r="0" l="0"/>
            <wp:wrapNone/>
            <wp:docPr id="2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y="12700" cx="530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Doporučený obsah lékařského vyšetření pro člena jednotky sboru dobrovolných hasičů (dále jen "JSDH")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Člen JSDH provádí záchranné a likvidační práce při zásahu u požáru, při živelných pohromách a při jiných mimořádných událostech. Činnost je nepravidelná, trvání zásahu je od několika minut až po několik hodin.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Při výše uvedené činnosti působí na členy JSDH zejména: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značné psychické vypětí, způsobené povinností zasáhnout v co nejkratším nestandardním prostředí, hrozba vlastního  zranění a nutnost překonat v některých případech strach z    požáru, nátlak na rychlé jednání při záchraně osob,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vysoká teplota při hasebních pracích, značné teplotní rozdíly u požáru,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chladno, především v zimním období, často v mokrém oděvu,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vysoké fyzické vypětí,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vliv kouře a jiných toxických látek,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práce ve  výškách a nad volnou hloubkou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Při lékařské prohlídce je třeba věnovat zvláštní pozornost následujícím onemocněním: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choroby pohybového systému s výrazným funkčním postižením a nutností trvalého fyzického šetření,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duševní poruchy, závislost na alkoholu a jiných návykových látkách,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psychická labilita,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záchvatové stavy včetně epilepsie,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závažné choroby oka, závažnější krátkozrakost a tupozrakost,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těžké poruchy sluchu,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závažná onemocnění srdce a cév, ischemická choroba srdeční, stavy po srdečních    infarktech, závažnější hypertenze, stavy po mozkových cévních příhodách,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závažnější choroy dýchacího systému, včetne astmatu bronchiálního,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alergické stavy v soustavném alergologickém léčení.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závažnější choroby zažívacího traktu, cirhosa jater,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závažnější choroby ledvin,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těžké a vleklé kožní onemocnění,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těžké formy diabetes mellitus,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obezita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91440" hidden="0" distT="91440" distB="91440" layoutInCell="0" locked="0" relativeHeight="0" simplePos="0" distL="91440" behindDoc="0">
            <wp:simplePos y="0" x="0"/>
            <wp:positionH relativeFrom="margin">
              <wp:posOffset>1028700</wp:posOffset>
            </wp:positionH>
            <wp:positionV relativeFrom="paragraph">
              <wp:posOffset>76200</wp:posOffset>
            </wp:positionV>
            <wp:extent cy="1765300" cx="5156200"/>
            <wp:effectExtent t="0" b="0" r="0" l="0"/>
            <wp:wrapSquare distR="91440" distT="91440" distB="91440" wrapText="bothSides" distL="91440"/>
            <wp:docPr id="3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ext cy="1765300" cx="515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88" w:before="0"/>
        <w:ind w:left="48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*   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nehodící se škrtněte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48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**  použije se pokud je jednotka SDH vybavena technikou, pro jejíž obsluhu nebo užívání je  požadována zdravotní způsobilost (motorové pily, dýchací technika apod.)</w:t>
      </w:r>
      <w:r w:rsidRPr="00000000" w:rsidR="00000000" w:rsidDel="00000000">
        <w:rPr>
          <w:rtl w:val="0"/>
        </w:rPr>
      </w:r>
    </w:p>
    <w:sectPr>
      <w:pgSz w:w="11906" w:h="16838"/>
      <w:pgMar w:left="1417" w:right="1417" w:top="1079" w:bottom="107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200" w:firstLine="84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920" w:firstLine="156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640" w:firstLine="228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3360" w:firstLine="300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4080" w:firstLine="372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800" w:firstLine="444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520" w:firstLine="516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6240" w:firstLine="588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960" w:firstLine="6600"/>
      </w:pPr>
      <w:rPr>
        <w:rFonts w:cs="Arial" w:hAnsi="Arial" w:eastAsia="Arial" w:asci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6"/><Relationship Target="media/image01.png" Type="http://schemas.openxmlformats.org/officeDocument/2006/relationships/image" Id="rId5"/><Relationship Target="media/image02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zadost_o_lekarske_vysetreni.docx</dc:title>
</cp:coreProperties>
</file>